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8ED" w:rsidRPr="00C518ED" w:rsidRDefault="00C518ED" w:rsidP="00C518ED">
      <w:pPr>
        <w:spacing w:before="180" w:after="90" w:line="336" w:lineRule="atLeast"/>
        <w:outlineLvl w:val="2"/>
        <w:rPr>
          <w:rFonts w:ascii="Arial" w:eastAsia="Times New Roman" w:hAnsi="Arial" w:cs="Arial"/>
          <w:i/>
          <w:iCs/>
          <w:color w:val="781D7E"/>
          <w:sz w:val="31"/>
          <w:szCs w:val="31"/>
          <w:lang w:eastAsia="en-AU"/>
        </w:rPr>
      </w:pPr>
      <w:bookmarkStart w:id="0" w:name="_GoBack"/>
      <w:bookmarkEnd w:id="0"/>
      <w:r w:rsidRPr="00C518ED">
        <w:rPr>
          <w:rFonts w:ascii="Arial" w:eastAsia="Times New Roman" w:hAnsi="Arial" w:cs="Arial"/>
          <w:i/>
          <w:iCs/>
          <w:color w:val="781D7E"/>
          <w:sz w:val="31"/>
          <w:szCs w:val="31"/>
          <w:lang w:eastAsia="en-AU"/>
        </w:rPr>
        <w:t>Safe Patient Care (Nurse to Patient and Midwife to Patient Ratios) Bill 2015</w:t>
      </w:r>
    </w:p>
    <w:p w:rsidR="00C518ED" w:rsidRPr="00C518ED" w:rsidRDefault="00C518ED"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The Safe Patient Care (Nurse to Patient and Midwife to Patient Ratios) Bill 2015 was introduced to Parliament on 1 September 2015 and the </w:t>
      </w:r>
      <w:r w:rsidRPr="00C518ED">
        <w:rPr>
          <w:rFonts w:ascii="Arial" w:eastAsia="Times New Roman" w:hAnsi="Arial" w:cs="Arial"/>
          <w:i/>
          <w:iCs/>
          <w:color w:val="666666"/>
          <w:lang w:eastAsia="en-AU"/>
        </w:rPr>
        <w:t>Safe Patient Care (Nurse to Patient and Midwife to Patient Ratios) Act 2015</w:t>
      </w:r>
      <w:r w:rsidRPr="00C518ED">
        <w:rPr>
          <w:rFonts w:ascii="Arial" w:eastAsia="Times New Roman" w:hAnsi="Arial" w:cs="Arial"/>
          <w:color w:val="666666"/>
          <w:lang w:eastAsia="en-AU"/>
        </w:rPr>
        <w:t> (the Act) took effect from 23 December 2015.</w:t>
      </w:r>
    </w:p>
    <w:p w:rsidR="00C518ED" w:rsidRPr="00C518ED" w:rsidRDefault="00C518ED"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The purposes of the Act is to confirm the minimum requirements for:</w:t>
      </w:r>
    </w:p>
    <w:p w:rsidR="00C518ED" w:rsidRPr="00C518ED" w:rsidRDefault="00C518ED" w:rsidP="00680919">
      <w:pPr>
        <w:numPr>
          <w:ilvl w:val="0"/>
          <w:numId w:val="1"/>
        </w:numPr>
        <w:tabs>
          <w:tab w:val="clear" w:pos="720"/>
          <w:tab w:val="num" w:pos="1080"/>
        </w:tabs>
        <w:spacing w:before="100" w:beforeAutospacing="1" w:after="100" w:afterAutospacing="1" w:line="240" w:lineRule="auto"/>
        <w:ind w:left="360"/>
        <w:rPr>
          <w:rFonts w:ascii="Arial" w:eastAsia="Times New Roman" w:hAnsi="Arial" w:cs="Arial"/>
          <w:color w:val="666666"/>
          <w:lang w:eastAsia="en-AU"/>
        </w:rPr>
      </w:pPr>
      <w:r w:rsidRPr="00C518ED">
        <w:rPr>
          <w:rFonts w:ascii="Arial" w:eastAsia="Times New Roman" w:hAnsi="Arial" w:cs="Arial"/>
          <w:color w:val="666666"/>
          <w:lang w:eastAsia="en-AU"/>
        </w:rPr>
        <w:t>nursing and/or midwifery staffing ratios in public health services; and</w:t>
      </w:r>
    </w:p>
    <w:p w:rsidR="00FE0562" w:rsidRPr="00FE0562" w:rsidRDefault="00C518ED" w:rsidP="00680919">
      <w:pPr>
        <w:numPr>
          <w:ilvl w:val="0"/>
          <w:numId w:val="2"/>
        </w:numPr>
        <w:tabs>
          <w:tab w:val="clear" w:pos="720"/>
          <w:tab w:val="num" w:pos="1080"/>
        </w:tabs>
        <w:spacing w:before="100" w:beforeAutospacing="1" w:after="100" w:afterAutospacing="1" w:line="240" w:lineRule="auto"/>
        <w:ind w:left="360"/>
        <w:rPr>
          <w:rFonts w:ascii="Arial" w:eastAsia="Times New Roman" w:hAnsi="Arial" w:cs="Arial"/>
          <w:color w:val="666666"/>
          <w:lang w:eastAsia="en-AU"/>
        </w:rPr>
      </w:pPr>
      <w:proofErr w:type="gramStart"/>
      <w:r w:rsidRPr="00C518ED">
        <w:rPr>
          <w:rFonts w:ascii="Arial" w:eastAsia="Times New Roman" w:hAnsi="Arial" w:cs="Arial"/>
          <w:color w:val="666666"/>
          <w:lang w:eastAsia="en-AU"/>
        </w:rPr>
        <w:t>the</w:t>
      </w:r>
      <w:proofErr w:type="gramEnd"/>
      <w:r w:rsidRPr="00C518ED">
        <w:rPr>
          <w:rFonts w:ascii="Arial" w:eastAsia="Times New Roman" w:hAnsi="Arial" w:cs="Arial"/>
          <w:color w:val="666666"/>
          <w:lang w:eastAsia="en-AU"/>
        </w:rPr>
        <w:t xml:space="preserve"> associated compliance reporting.  </w:t>
      </w:r>
      <w:r w:rsidRPr="00FE0562">
        <w:rPr>
          <w:rFonts w:ascii="Arial" w:eastAsia="Times New Roman" w:hAnsi="Arial" w:cs="Arial"/>
          <w:color w:val="666666"/>
          <w:lang w:eastAsia="en-AU"/>
        </w:rPr>
        <w:t xml:space="preserve"> </w:t>
      </w:r>
    </w:p>
    <w:p w:rsidR="00C518ED" w:rsidRDefault="00FE0562" w:rsidP="00FE0562">
      <w:pPr>
        <w:spacing w:before="100" w:beforeAutospacing="1" w:after="100" w:afterAutospacing="1" w:line="240" w:lineRule="auto"/>
        <w:rPr>
          <w:rFonts w:ascii="Arial" w:eastAsia="Times New Roman" w:hAnsi="Arial" w:cs="Arial"/>
          <w:color w:val="666666"/>
          <w:lang w:eastAsia="en-AU"/>
        </w:rPr>
      </w:pPr>
      <w:r>
        <w:rPr>
          <w:rFonts w:ascii="Arial" w:eastAsia="Times New Roman" w:hAnsi="Arial" w:cs="Arial"/>
          <w:color w:val="666666"/>
          <w:lang w:eastAsia="en-AU"/>
        </w:rPr>
        <w:t>P</w:t>
      </w:r>
      <w:r w:rsidR="001268A6" w:rsidRPr="00FE0562">
        <w:rPr>
          <w:rFonts w:ascii="Arial" w:eastAsia="Times New Roman" w:hAnsi="Arial" w:cs="Arial"/>
          <w:color w:val="666666"/>
          <w:lang w:eastAsia="en-AU"/>
        </w:rPr>
        <w:t>revious</w:t>
      </w:r>
      <w:r>
        <w:rPr>
          <w:rFonts w:ascii="Arial" w:eastAsia="Times New Roman" w:hAnsi="Arial" w:cs="Arial"/>
          <w:color w:val="666666"/>
          <w:lang w:eastAsia="en-AU"/>
        </w:rPr>
        <w:t xml:space="preserve"> Amendments included</w:t>
      </w:r>
      <w:r w:rsidR="00C518ED" w:rsidRPr="00FE0562">
        <w:rPr>
          <w:rFonts w:ascii="Arial" w:eastAsia="Times New Roman" w:hAnsi="Arial" w:cs="Arial"/>
          <w:color w:val="666666"/>
          <w:lang w:eastAsia="en-AU"/>
        </w:rPr>
        <w:t xml:space="preserve"> the requirement for health services to make a public disclosure related to their mixed wards and birthing suites.  </w:t>
      </w:r>
    </w:p>
    <w:p w:rsidR="00FE0562" w:rsidRPr="00FE0562" w:rsidRDefault="00FE0562" w:rsidP="00FE0562">
      <w:pPr>
        <w:spacing w:before="100" w:beforeAutospacing="1" w:after="100" w:afterAutospacing="1" w:line="240" w:lineRule="auto"/>
        <w:rPr>
          <w:rFonts w:ascii="Arial" w:eastAsia="Times New Roman" w:hAnsi="Arial" w:cs="Arial"/>
          <w:color w:val="666666"/>
          <w:lang w:eastAsia="en-AU"/>
        </w:rPr>
      </w:pPr>
      <w:r w:rsidRPr="00C518ED">
        <w:rPr>
          <w:rFonts w:ascii="Arial" w:eastAsia="Times New Roman" w:hAnsi="Arial" w:cs="Arial"/>
          <w:color w:val="666666"/>
          <w:lang w:eastAsia="en-AU"/>
        </w:rPr>
        <w:t xml:space="preserve">Amendments to the Act were </w:t>
      </w:r>
      <w:r>
        <w:rPr>
          <w:rFonts w:ascii="Arial" w:eastAsia="Times New Roman" w:hAnsi="Arial" w:cs="Arial"/>
          <w:color w:val="666666"/>
          <w:lang w:eastAsia="en-AU"/>
        </w:rPr>
        <w:t>last implemented on 1 July 2022</w:t>
      </w:r>
    </w:p>
    <w:p w:rsidR="00C518ED" w:rsidRPr="00C518ED" w:rsidRDefault="00C518ED"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Amendments to the Regulations reflect current practices and provide consistency across hospitals as to the criteria and requirements services must considered in determining appropriate staffing requirements for the delivery of safe and quality care.</w:t>
      </w:r>
    </w:p>
    <w:p w:rsidR="00C518ED" w:rsidRPr="00C518ED" w:rsidRDefault="00C518ED"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If you would like to know more about the Safe Patient Care Act go to </w:t>
      </w:r>
      <w:hyperlink r:id="rId7" w:history="1">
        <w:r w:rsidRPr="00C518ED">
          <w:rPr>
            <w:rFonts w:ascii="Arial" w:eastAsia="Times New Roman" w:hAnsi="Arial" w:cs="Arial"/>
            <w:color w:val="781D7E"/>
            <w:u w:val="single"/>
            <w:lang w:eastAsia="en-AU"/>
          </w:rPr>
          <w:t>https://www2.health.vic.gov.au/health-workforce/nursing-and-midwifery/safe-patient-care-act</w:t>
        </w:r>
      </w:hyperlink>
      <w:r w:rsidRPr="00C518ED">
        <w:rPr>
          <w:rFonts w:ascii="Arial" w:eastAsia="Times New Roman" w:hAnsi="Arial" w:cs="Arial"/>
          <w:color w:val="666666"/>
          <w:lang w:eastAsia="en-AU"/>
        </w:rPr>
        <w:t>. A copy of the legislation is available on the Victorian Legislation and Parliamentary Documents website </w:t>
      </w:r>
      <w:hyperlink r:id="rId8" w:history="1">
        <w:r w:rsidRPr="00C518ED">
          <w:rPr>
            <w:rFonts w:ascii="Arial" w:eastAsia="Times New Roman" w:hAnsi="Arial" w:cs="Arial"/>
            <w:color w:val="781D7E"/>
            <w:u w:val="single"/>
            <w:lang w:eastAsia="en-AU"/>
          </w:rPr>
          <w:t>www.legislation.vic.gov.au</w:t>
        </w:r>
      </w:hyperlink>
      <w:r w:rsidRPr="00C518ED">
        <w:rPr>
          <w:rFonts w:ascii="Arial" w:eastAsia="Times New Roman" w:hAnsi="Arial" w:cs="Arial"/>
          <w:color w:val="666666"/>
          <w:lang w:eastAsia="en-AU"/>
        </w:rPr>
        <w:t>.</w:t>
      </w:r>
    </w:p>
    <w:p w:rsidR="00C518ED" w:rsidRPr="00C518ED" w:rsidRDefault="00C518ED"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b/>
          <w:bCs/>
          <w:color w:val="666666"/>
          <w:lang w:eastAsia="en-AU"/>
        </w:rPr>
        <w:t xml:space="preserve">At </w:t>
      </w:r>
      <w:r w:rsidR="000F7280">
        <w:rPr>
          <w:rFonts w:ascii="Arial" w:eastAsia="Times New Roman" w:hAnsi="Arial" w:cs="Arial"/>
          <w:b/>
          <w:bCs/>
          <w:color w:val="666666"/>
          <w:lang w:eastAsia="en-AU"/>
        </w:rPr>
        <w:t xml:space="preserve">Colac Area Health – Acute </w:t>
      </w:r>
      <w:r w:rsidRPr="00C518ED">
        <w:rPr>
          <w:rFonts w:ascii="Arial" w:eastAsia="Times New Roman" w:hAnsi="Arial" w:cs="Arial"/>
          <w:b/>
          <w:bCs/>
          <w:color w:val="666666"/>
          <w:lang w:eastAsia="en-AU"/>
        </w:rPr>
        <w:t>Services are provided via a mixed w</w:t>
      </w:r>
      <w:r w:rsidR="001268A6">
        <w:rPr>
          <w:rFonts w:ascii="Arial" w:eastAsia="Times New Roman" w:hAnsi="Arial" w:cs="Arial"/>
          <w:b/>
          <w:bCs/>
          <w:color w:val="666666"/>
          <w:lang w:eastAsia="en-AU"/>
        </w:rPr>
        <w:t xml:space="preserve">ard incorporating the Acute and </w:t>
      </w:r>
      <w:r w:rsidR="00FE0562">
        <w:rPr>
          <w:rFonts w:ascii="Arial" w:eastAsia="Times New Roman" w:hAnsi="Arial" w:cs="Arial"/>
          <w:b/>
          <w:bCs/>
          <w:color w:val="666666"/>
          <w:lang w:eastAsia="en-AU"/>
        </w:rPr>
        <w:t xml:space="preserve">Maternity subunits.  Day Services also </w:t>
      </w:r>
      <w:r w:rsidR="00D40754">
        <w:rPr>
          <w:rFonts w:ascii="Arial" w:eastAsia="Times New Roman" w:hAnsi="Arial" w:cs="Arial"/>
          <w:b/>
          <w:bCs/>
          <w:color w:val="666666"/>
          <w:lang w:eastAsia="en-AU"/>
        </w:rPr>
        <w:t xml:space="preserve">form </w:t>
      </w:r>
      <w:r w:rsidR="00FE0562">
        <w:rPr>
          <w:rFonts w:ascii="Arial" w:eastAsia="Times New Roman" w:hAnsi="Arial" w:cs="Arial"/>
          <w:b/>
          <w:bCs/>
          <w:color w:val="666666"/>
          <w:lang w:eastAsia="en-AU"/>
        </w:rPr>
        <w:t xml:space="preserve">part of our Acute Services. </w:t>
      </w:r>
    </w:p>
    <w:tbl>
      <w:tblPr>
        <w:tblW w:w="95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8"/>
        <w:gridCol w:w="4818"/>
      </w:tblGrid>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b/>
                <w:bCs/>
                <w:color w:val="666666"/>
                <w:lang w:eastAsia="en-AU"/>
              </w:rPr>
              <w:t> Name of mixed ward:</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b/>
                <w:bCs/>
                <w:color w:val="666666"/>
                <w:lang w:eastAsia="en-AU"/>
              </w:rPr>
              <w:t xml:space="preserve"> Acute </w:t>
            </w:r>
            <w:r w:rsidRPr="00C518ED">
              <w:rPr>
                <w:rFonts w:ascii="Arial" w:eastAsia="Times New Roman" w:hAnsi="Arial" w:cs="Arial"/>
                <w:b/>
                <w:bCs/>
                <w:color w:val="666666"/>
                <w:lang w:eastAsia="en-AU"/>
              </w:rPr>
              <w:t>Services</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The total number of occupied beds:</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 20  (18 Acute plus 2 maternity)</w:t>
            </w:r>
          </w:p>
        </w:tc>
      </w:tr>
      <w:tr w:rsidR="00D40754" w:rsidRPr="00C518ED" w:rsidTr="00D40754">
        <w:tc>
          <w:tcPr>
            <w:tcW w:w="9596" w:type="dxa"/>
            <w:gridSpan w:val="2"/>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b/>
                <w:bCs/>
                <w:color w:val="666666"/>
                <w:lang w:eastAsia="en-AU"/>
              </w:rPr>
              <w:t> The different ratios that apply for Inpatient services</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b/>
                <w:bCs/>
                <w:color w:val="666666"/>
                <w:lang w:eastAsia="en-AU"/>
              </w:rPr>
              <w:t> ACUTE</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b/>
                <w:bCs/>
                <w:color w:val="666666"/>
                <w:lang w:eastAsia="en-AU"/>
              </w:rPr>
              <w:t> MIDWIFERY</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lastRenderedPageBreak/>
              <w:t> Morning shift: 1 nurse to 6 patients, 1 nurse in charge</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Morning shift: 1 midwife to 4 patients, 1 nurse/midwife in</w:t>
            </w:r>
            <w:r w:rsidRPr="00C518ED">
              <w:rPr>
                <w:rFonts w:ascii="Arial" w:eastAsia="Times New Roman" w:hAnsi="Arial" w:cs="Arial"/>
                <w:color w:val="666666"/>
                <w:lang w:eastAsia="en-AU"/>
              </w:rPr>
              <w:br/>
              <w:t> charge</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 Afternoon shift: 1 nurse to 7 patients, 1 nurse in charge</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Afternoon shift: 1 midwife to 4 patients, 1 nurse/midwife in</w:t>
            </w:r>
            <w:r w:rsidRPr="00C518ED">
              <w:rPr>
                <w:rFonts w:ascii="Arial" w:eastAsia="Times New Roman" w:hAnsi="Arial" w:cs="Arial"/>
                <w:color w:val="666666"/>
                <w:lang w:eastAsia="en-AU"/>
              </w:rPr>
              <w:br/>
              <w:t> charge</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 Night shift: 1 nurse to 10 patients</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 xml:space="preserve">Night shift: 1 midwife to 6 </w:t>
            </w:r>
            <w:r w:rsidRPr="00C518ED">
              <w:rPr>
                <w:rFonts w:ascii="Arial" w:eastAsia="Times New Roman" w:hAnsi="Arial" w:cs="Arial"/>
                <w:color w:val="666666"/>
                <w:lang w:eastAsia="en-AU"/>
              </w:rPr>
              <w:t>patients.</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 The expected number of occupied beds in ACUTE</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18</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 The expected number of occupied beds in MIDWIFERY</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 2</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tcPr>
          <w:p w:rsidR="00D40754" w:rsidRPr="00C518ED" w:rsidRDefault="00D40754" w:rsidP="00C518ED">
            <w:pPr>
              <w:spacing w:before="240" w:after="240" w:line="240" w:lineRule="auto"/>
              <w:rPr>
                <w:rFonts w:ascii="Arial" w:eastAsia="Times New Roman" w:hAnsi="Arial" w:cs="Arial"/>
                <w:b/>
                <w:bCs/>
                <w:color w:val="666666"/>
                <w:lang w:eastAsia="en-AU"/>
              </w:rPr>
            </w:pPr>
            <w:r>
              <w:rPr>
                <w:rFonts w:ascii="Arial" w:eastAsia="Times New Roman" w:hAnsi="Arial" w:cs="Arial"/>
                <w:b/>
                <w:bCs/>
                <w:color w:val="666666"/>
                <w:lang w:eastAsia="en-AU"/>
              </w:rPr>
              <w:t xml:space="preserve">Day Services </w:t>
            </w:r>
          </w:p>
        </w:tc>
        <w:tc>
          <w:tcPr>
            <w:tcW w:w="4818" w:type="dxa"/>
            <w:tcBorders>
              <w:top w:val="outset" w:sz="6" w:space="0" w:color="auto"/>
              <w:left w:val="outset" w:sz="6" w:space="0" w:color="auto"/>
              <w:bottom w:val="outset" w:sz="6" w:space="0" w:color="auto"/>
              <w:right w:val="outset" w:sz="6" w:space="0" w:color="auto"/>
            </w:tcBorders>
            <w:vAlign w:val="center"/>
          </w:tcPr>
          <w:p w:rsidR="00D40754"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Haemodialysis  - 3 chairs 1 nurse to 3 patients for a morning and afternoon shift</w:t>
            </w:r>
          </w:p>
          <w:p w:rsidR="00D40754"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Day Oncology  -4 chairs 1 nurse to 3 patients for morning shift</w:t>
            </w:r>
          </w:p>
          <w:p w:rsidR="00D40754" w:rsidRPr="00C518ED" w:rsidRDefault="00D40754" w:rsidP="00C518ED">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 xml:space="preserve">Expected occupancy in each area is 3 chairs </w:t>
            </w:r>
          </w:p>
        </w:tc>
      </w:tr>
      <w:tr w:rsidR="00D40754" w:rsidRPr="00C518ED" w:rsidTr="00D40754">
        <w:tc>
          <w:tcPr>
            <w:tcW w:w="477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b/>
                <w:bCs/>
                <w:color w:val="666666"/>
                <w:lang w:eastAsia="en-AU"/>
              </w:rPr>
              <w:t>Average occupied BIRTHING SUITES</w:t>
            </w:r>
            <w:r>
              <w:rPr>
                <w:rFonts w:ascii="Arial" w:eastAsia="Times New Roman" w:hAnsi="Arial" w:cs="Arial"/>
                <w:b/>
                <w:bCs/>
                <w:color w:val="666666"/>
                <w:lang w:eastAsia="en-AU"/>
              </w:rPr>
              <w:t xml:space="preserve"> </w:t>
            </w:r>
          </w:p>
        </w:tc>
        <w:tc>
          <w:tcPr>
            <w:tcW w:w="4818" w:type="dxa"/>
            <w:tcBorders>
              <w:top w:val="outset" w:sz="6" w:space="0" w:color="auto"/>
              <w:left w:val="outset" w:sz="6" w:space="0" w:color="auto"/>
              <w:bottom w:val="outset" w:sz="6" w:space="0" w:color="auto"/>
              <w:right w:val="outset" w:sz="6" w:space="0" w:color="auto"/>
            </w:tcBorders>
            <w:vAlign w:val="center"/>
            <w:hideMark/>
          </w:tcPr>
          <w:p w:rsidR="00D40754" w:rsidRPr="00C518ED" w:rsidRDefault="00D40754" w:rsidP="00C518ED">
            <w:pPr>
              <w:spacing w:before="240" w:after="240" w:line="240" w:lineRule="auto"/>
              <w:rPr>
                <w:rFonts w:ascii="Arial" w:eastAsia="Times New Roman" w:hAnsi="Arial" w:cs="Arial"/>
                <w:color w:val="666666"/>
                <w:lang w:eastAsia="en-AU"/>
              </w:rPr>
            </w:pPr>
            <w:r w:rsidRPr="00C518ED">
              <w:rPr>
                <w:rFonts w:ascii="Arial" w:eastAsia="Times New Roman" w:hAnsi="Arial" w:cs="Arial"/>
                <w:color w:val="666666"/>
                <w:lang w:eastAsia="en-AU"/>
              </w:rPr>
              <w:t> 1</w:t>
            </w:r>
          </w:p>
          <w:p w:rsidR="00FB4E1E" w:rsidRDefault="00D40754" w:rsidP="00FB4E1E">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 xml:space="preserve"> TOTAL BIRTHS:  </w:t>
            </w:r>
            <w:r w:rsidRPr="00C518ED">
              <w:rPr>
                <w:rFonts w:ascii="Arial" w:eastAsia="Times New Roman" w:hAnsi="Arial" w:cs="Arial"/>
                <w:color w:val="666666"/>
                <w:lang w:eastAsia="en-AU"/>
              </w:rPr>
              <w:t xml:space="preserve">= </w:t>
            </w:r>
            <w:r w:rsidR="00FB4E1E">
              <w:rPr>
                <w:rFonts w:ascii="Arial" w:eastAsia="Times New Roman" w:hAnsi="Arial" w:cs="Arial"/>
                <w:color w:val="666666"/>
                <w:lang w:eastAsia="en-AU"/>
              </w:rPr>
              <w:t xml:space="preserve"> 69</w:t>
            </w:r>
          </w:p>
          <w:p w:rsidR="00D40754" w:rsidRPr="00C518ED" w:rsidRDefault="00CD5F23" w:rsidP="00FB4E1E">
            <w:pPr>
              <w:spacing w:before="240" w:after="240" w:line="240" w:lineRule="auto"/>
              <w:rPr>
                <w:rFonts w:ascii="Arial" w:eastAsia="Times New Roman" w:hAnsi="Arial" w:cs="Arial"/>
                <w:color w:val="666666"/>
                <w:lang w:eastAsia="en-AU"/>
              </w:rPr>
            </w:pPr>
            <w:r>
              <w:rPr>
                <w:rFonts w:ascii="Arial" w:eastAsia="Times New Roman" w:hAnsi="Arial" w:cs="Arial"/>
                <w:color w:val="666666"/>
                <w:lang w:eastAsia="en-AU"/>
              </w:rPr>
              <w:t xml:space="preserve">September </w:t>
            </w:r>
            <w:r w:rsidR="00D40754">
              <w:rPr>
                <w:rFonts w:ascii="Arial" w:eastAsia="Times New Roman" w:hAnsi="Arial" w:cs="Arial"/>
                <w:color w:val="666666"/>
                <w:lang w:eastAsia="en-AU"/>
              </w:rPr>
              <w:t>1</w:t>
            </w:r>
            <w:r>
              <w:rPr>
                <w:rFonts w:ascii="Arial" w:eastAsia="Times New Roman" w:hAnsi="Arial" w:cs="Arial"/>
                <w:color w:val="666666"/>
                <w:lang w:eastAsia="en-AU"/>
              </w:rPr>
              <w:t xml:space="preserve"> 2022 to February</w:t>
            </w:r>
            <w:r w:rsidR="00D40754">
              <w:rPr>
                <w:rFonts w:ascii="Arial" w:eastAsia="Times New Roman" w:hAnsi="Arial" w:cs="Arial"/>
                <w:color w:val="666666"/>
                <w:lang w:eastAsia="en-AU"/>
              </w:rPr>
              <w:t xml:space="preserve"> </w:t>
            </w:r>
            <w:r>
              <w:rPr>
                <w:rFonts w:ascii="Arial" w:eastAsia="Times New Roman" w:hAnsi="Arial" w:cs="Arial"/>
                <w:color w:val="666666"/>
                <w:lang w:eastAsia="en-AU"/>
              </w:rPr>
              <w:t>28 2023</w:t>
            </w:r>
          </w:p>
        </w:tc>
      </w:tr>
    </w:tbl>
    <w:p w:rsidR="00544FFD" w:rsidRDefault="00544FFD"/>
    <w:sectPr w:rsidR="00544FFD" w:rsidSect="00680919">
      <w:footerReference w:type="default" r:id="rId9"/>
      <w:pgSz w:w="11906" w:h="16838"/>
      <w:pgMar w:top="1440" w:right="1440" w:bottom="1440" w:left="1440" w:header="39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084" w:rsidRDefault="00971084" w:rsidP="009F5503">
      <w:pPr>
        <w:spacing w:after="0" w:line="240" w:lineRule="auto"/>
      </w:pPr>
      <w:r>
        <w:separator/>
      </w:r>
    </w:p>
  </w:endnote>
  <w:endnote w:type="continuationSeparator" w:id="0">
    <w:p w:rsidR="00971084" w:rsidRDefault="00971084" w:rsidP="009F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503" w:rsidRDefault="009F5503" w:rsidP="009F5503">
    <w:pPr>
      <w:pStyle w:val="Footer"/>
      <w:tabs>
        <w:tab w:val="clear" w:pos="4513"/>
        <w:tab w:val="clear" w:pos="9026"/>
        <w:tab w:val="left" w:pos="37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084" w:rsidRDefault="00971084" w:rsidP="009F5503">
      <w:pPr>
        <w:spacing w:after="0" w:line="240" w:lineRule="auto"/>
      </w:pPr>
      <w:r>
        <w:separator/>
      </w:r>
    </w:p>
  </w:footnote>
  <w:footnote w:type="continuationSeparator" w:id="0">
    <w:p w:rsidR="00971084" w:rsidRDefault="00971084" w:rsidP="009F5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A17DA"/>
    <w:multiLevelType w:val="multilevel"/>
    <w:tmpl w:val="9AE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C7A58"/>
    <w:multiLevelType w:val="multilevel"/>
    <w:tmpl w:val="8DF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ED"/>
    <w:rsid w:val="000F7280"/>
    <w:rsid w:val="001268A6"/>
    <w:rsid w:val="00445DA0"/>
    <w:rsid w:val="00544FFD"/>
    <w:rsid w:val="006775A4"/>
    <w:rsid w:val="00680919"/>
    <w:rsid w:val="00971084"/>
    <w:rsid w:val="009F5503"/>
    <w:rsid w:val="00A00BEC"/>
    <w:rsid w:val="00C518ED"/>
    <w:rsid w:val="00CD5F23"/>
    <w:rsid w:val="00D40754"/>
    <w:rsid w:val="00D4383B"/>
    <w:rsid w:val="00FB4E1E"/>
    <w:rsid w:val="00FE05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7168D64-75A5-4085-91DA-327F7757C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18E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8E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518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518ED"/>
    <w:rPr>
      <w:i/>
      <w:iCs/>
    </w:rPr>
  </w:style>
  <w:style w:type="character" w:styleId="Hyperlink">
    <w:name w:val="Hyperlink"/>
    <w:basedOn w:val="DefaultParagraphFont"/>
    <w:uiPriority w:val="99"/>
    <w:semiHidden/>
    <w:unhideWhenUsed/>
    <w:rsid w:val="00C518ED"/>
    <w:rPr>
      <w:color w:val="0000FF"/>
      <w:u w:val="single"/>
    </w:rPr>
  </w:style>
  <w:style w:type="character" w:styleId="Strong">
    <w:name w:val="Strong"/>
    <w:basedOn w:val="DefaultParagraphFont"/>
    <w:uiPriority w:val="22"/>
    <w:qFormat/>
    <w:rsid w:val="00C518ED"/>
    <w:rPr>
      <w:b/>
      <w:bCs/>
    </w:rPr>
  </w:style>
  <w:style w:type="paragraph" w:styleId="Header">
    <w:name w:val="header"/>
    <w:basedOn w:val="Normal"/>
    <w:link w:val="HeaderChar"/>
    <w:uiPriority w:val="99"/>
    <w:unhideWhenUsed/>
    <w:rsid w:val="009F5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503"/>
  </w:style>
  <w:style w:type="paragraph" w:styleId="Footer">
    <w:name w:val="footer"/>
    <w:basedOn w:val="Normal"/>
    <w:link w:val="FooterChar"/>
    <w:uiPriority w:val="99"/>
    <w:unhideWhenUsed/>
    <w:rsid w:val="009F5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3" Type="http://schemas.openxmlformats.org/officeDocument/2006/relationships/settings" Target="settings.xml"/><Relationship Id="rId7" Type="http://schemas.openxmlformats.org/officeDocument/2006/relationships/hyperlink" Target="https://www2.health.vic.gov.au/health-workforce/nursing-and-midwifery/safe-patient-care-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Pryor</dc:creator>
  <cp:keywords/>
  <dc:description/>
  <cp:lastModifiedBy>Glenda Harrison</cp:lastModifiedBy>
  <cp:revision>2</cp:revision>
  <dcterms:created xsi:type="dcterms:W3CDTF">2023-03-01T22:27:00Z</dcterms:created>
  <dcterms:modified xsi:type="dcterms:W3CDTF">2023-03-01T22:27:00Z</dcterms:modified>
</cp:coreProperties>
</file>